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60</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关于大力发展直播电商，助力传统优势产业、 消费和外贸出口高质量发展的建议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民建深圳市委会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20240587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工业和信息化局,市人力资源和社会保障局,市教育局,深圳海关,宝安区人民政府,福田区人民政府,南山区人民政府,龙岗区人民政府,罗湖区人民政府,盐田区人民政府,光明区人民政府,坪山区人民政府,大鹏新区管理委员会,龙华区人民政府,深汕合作区管理委员会,市地方金融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直播电商正顺应时代的潮流呈现出蓬勃的发展态势，2022年中国直播电商市场规模超过3.4万亿，年增长率为53%。直播电商通过拓展新人群、营造新场景、挖掘新需求，促进消费持续恢复和快速增长。深圳市提出到2025年，直播电商销售额超3000亿元，打造具有国际影响力的“直播电商之都”。大力发展直播电商，构建电商消费新业态，将助力深圳国际消费中心城市建设和传统优势产业发展，拉动出口、增加就业和投资具有十分重要的意义。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一、深圳直播电商业现状和问题分析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深圳直播电商发展落后于杭州和广州。在全国直播电商城市中，杭州、广州、上海属于第一梯队，深圳处于第二梯队。二是缺乏大型电商平台。深圳缺乏大型线上交易平台，对传统优势产业支撑不足。三是专业化直播基地不足。虽然深圳每个区基本都有相应直播基地，但是建设水平和运营管理方式落后于杭州及广州。四是直播生态没有形成。一方面，深圳的直播企业与平台服务商严重脱节。另一方面，深圳缺乏直播电商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建议一、多方发力，支持直播和电商平台建设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加快电商支撑平台建设。建设大型数字电商平台，鼓励深圳本土直播电商平台创新发展。鼓励优势行业开展行业性垂直直播电商平台的建设，引进直播电商平台总部。发展平台服务商，支持本土电商平台打造成国内直播电商头部平台。积极打造集供货、仓储、直播运营、物流于一体的电商产业链。搭建直播经济智库。</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打造示范型直播电商集聚区（基地）。打造具有强大竞争力的直播电商产业集群，在华强北、罗湖水贝、前海等地打造具备品牌聚集、产业教育与培训、达人主播孵化、数字化内容生产、产品研发、数字化供应链的“孵化型”“产业型”直播电商基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建议二、激活各种要素，打造直播电商生态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建立电商与优势产业的连接。鼓励本土优势产业以行业头部企业或者行业联盟为牵头单位，建设行业或企业直播电商垂直独立站平台。持续鼓励在各直播平台上开设“深爱正品，圳在直播”板块。打造“保税+跨境+零售”新模式，为深圳传统优势行业发展注入新动力。</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2、构建湾区优选供应链中心。建设直播电商产业带选品中心，甄选符合直播电商需求的产品集中展示，定期按照主题，组织全国主播进行选品带货。</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打造直播电商高端专业人才队伍。推动行业协会、企业与深圳职业大学共建直播电商产业学院，设立直播电商专业，培养直播人才。在深圳建立由国家人社部职业技能鉴定中心认可的“互联网营销师评价基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建议三、结合深圳优势，创新发展直播电商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构建“直播+产业链”的深圳模式，提升直播电商发展整体质量。通过直播电商来赋能产业转型与升级，强化直播电商基地与优势产业链的融合。充分利用深圳在信息技术、区块链、元宇宙等直播相关科技的优势，助推深圳企业在直播电商技术领域取得领先地位，引领国内直播电商科技的发展，提升深圳在直播电商生态链中的位势。</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加强对直播电商企业金融支持，培育本土直播电商上市企业。构建具深圳优势的网络直播产业金融服务平台，引导深圳天使母基金、高新投等国有投资机构为优质深圳本土直播电商生态企业提供投融资服务。设立专注于早期和长期投资的直播经济专项基金。</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打造具有全球影响力的高端直播产业展会。在深圳创办“全球直播电商展”，“国际直播电商购物节”等年度大型活动，推动建设“深圳全球数字直播电商中心”。定期举办直播电商节，举办具有深圳特色的直播电商节等品牌活动，大力吸引头部直播及优ICN机构集聚。</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4、发挥深港融合优势，再造直播新模式。因地制宜根据香港艺人的资源和深圳实际，引导香港明星艺人到深圳前海直播带货，建立直播基地（间）。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建议四、依靠直播电商新模式，推动消费升级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引导企业发展直播电商，实现商品触达用户。积极发挥直播电商全天候带货特点，引导商超、批发市场最大限度利用品牌和线下实体店两大资源。拓宽线上批发与零售渠道，获取更多的流量。设立“直播+”消费专题，借助直播等新媒体手段，为消费者提供产品功能介绍、购物等导购服务。</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发挥直播电商优势，打通重要的消费渠道。借助以抖音为代表的短视频、直播平台扩大销售，通过以销定产、柔性生产优化生产经营模式，建立电商平台与产业带企业对接的通道，供给端提供更好的产品，促进消费端的升级换代，帮助深圳企业迅速建立起对终端市场的反应能力。</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3、推动传统时尚产业全流程、全产业链的数字化和绿色转型。通过数字传播，开辟“新市场”。将深圳传统制造的“老特产”，变成炙手可热的“新时尚”，并让它“火出圈”。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建议五、发展跨境电商，挖掘深圳外贸新增长点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1、形成政策合力。推动完善跨境电子商务相关法律法规，规范企业从事跨境电子商务活动的相关行为，构建产品质量标准，提升跨境电子商务市场中产品准入门槛，促使产品质量提升，加强产品质量监管能力。在海关通关等各个方面，出台促进跨境电子商务服务水平提高和优化运输渠道的政策法规。</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2、大力拓展跨境直播领域。推动线上线下融合外贸商业模式，互为补充，促进出口业务发展。通过国货国潮品牌出海、海外仓直播等模式，吸引全球买家，增强深圳外贸粘性和吸引力。</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3、进一步优化跨境电商发展环境。加快推进公共海外仓建设，优化海外仓培育机制，在跨境电商主要出口目的地港口、产业园区建设一批海外仓和物流配送体系，更好地服务跨境电商发展。进一步扩大9610方式跨境电子商务出口，全力积极争取跨境电子商务出口试点的落地。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民建深圳市委会(无),88114060,深圳市上步中路1004号市政协大楼北2楼(秦春燕),518006,</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宝安区人民政府(蔡兆锋),17705928046,29996501,宝安区委区政府大楼区委区府办,518130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福田区人民政府(周余),13522705798,82918333-1292,福田区福民路123号,518048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市教育局(方菲),18924659038,深圳市市民中心C区二楼,518035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南山区人民政府(何淑妮),13751032231,26662505,南山区府大楼,518052</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龙岗区人民政府(尹政),15814458136,88180191,龙岗区人民政府,518172</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罗湖区人民政府(浩波),15919801151,25666157,罗湖区文锦中路罗湖管理中心大厦,518000</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深圳海关(骆嘉宇),18576469188,84398411,深圳市深南大道2006号,518026</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光明区人民政府(肖汉敬),15363451186,88212180,光明区区委区政府大楼208,518107</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坪山区人民政府(骆玉云),13480792886,84622613,深圳市坪山区坪山大道333号区政府大楼623室,518118</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 xml:space="preserve">大鹏新区管理委员会(孙月嫦),13570427515,28333965,      </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市工业和信息化局(潘洋),18118783860,88101827,福田区福中三路市民中心三楼,518036</w:t>
            </w:r>
          </w:p>
        </w:tc>
      </w:tr>
      <w:tr>
        <w:tc>
          <w:tcPr>
            <w:tcW w:w="469" w:type="dxa"/>
          </w:tcPr>
          <w:p>
            <w:r>
              <w:rPr>
                <w:rFonts w:hint="eastAsia" w:ascii="仿宋_GB2312" w:eastAsia="仿宋_GB2312" w:cs="仿宋_GB2312"/>
                <w:sz w:val="28"/>
                <w:szCs w:val="28"/>
              </w:rPr>
              <w:t>14.</w:t>
            </w:r>
          </w:p>
        </w:tc>
        <w:tc>
          <w:tcPr>
            <w:tcW w:w="7818" w:type="dxa"/>
          </w:tcPr>
          <w:p>
            <w:r>
              <w:rPr>
                <w:rFonts w:hint="eastAsia" w:ascii="仿宋_GB2312" w:eastAsia="仿宋_GB2312" w:cs="仿宋_GB2312"/>
                <w:sz w:val="28"/>
                <w:szCs w:val="28"/>
              </w:rPr>
              <w:t>龙华区人民政府(黄文飞),15623712834,23338079,龙华区观湖街道广场沿河路1号,518110</w:t>
            </w:r>
          </w:p>
        </w:tc>
      </w:tr>
      <w:tr>
        <w:tc>
          <w:tcPr>
            <w:tcW w:w="469" w:type="dxa"/>
          </w:tcPr>
          <w:p>
            <w:r>
              <w:rPr>
                <w:rFonts w:hint="eastAsia" w:ascii="仿宋_GB2312" w:eastAsia="仿宋_GB2312" w:cs="仿宋_GB2312"/>
                <w:sz w:val="28"/>
                <w:szCs w:val="28"/>
              </w:rPr>
              <w:t>15.</w:t>
            </w:r>
          </w:p>
        </w:tc>
        <w:tc>
          <w:tcPr>
            <w:tcW w:w="7818" w:type="dxa"/>
          </w:tcPr>
          <w:p>
            <w:r>
              <w:rPr>
                <w:rFonts w:hint="eastAsia" w:ascii="仿宋_GB2312" w:eastAsia="仿宋_GB2312" w:cs="仿宋_GB2312"/>
                <w:sz w:val="28"/>
                <w:szCs w:val="28"/>
              </w:rPr>
              <w:t xml:space="preserve">深汕合作区管理委员会(苗静),15525726190,0755-22100567,      </w:t>
            </w:r>
          </w:p>
        </w:tc>
      </w:tr>
      <w:tr>
        <w:tc>
          <w:tcPr>
            <w:tcW w:w="469" w:type="dxa"/>
          </w:tcPr>
          <w:p>
            <w:r>
              <w:rPr>
                <w:rFonts w:hint="eastAsia" w:ascii="仿宋_GB2312" w:eastAsia="仿宋_GB2312" w:cs="仿宋_GB2312"/>
                <w:sz w:val="28"/>
                <w:szCs w:val="28"/>
              </w:rPr>
              <w:t>16.</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17.</w:t>
            </w:r>
          </w:p>
        </w:tc>
        <w:tc>
          <w:tcPr>
            <w:tcW w:w="7818" w:type="dxa"/>
          </w:tcPr>
          <w:p>
            <w:r>
              <w:rPr>
                <w:rFonts w:hint="eastAsia" w:ascii="仿宋_GB2312" w:eastAsia="仿宋_GB2312" w:cs="仿宋_GB2312"/>
                <w:sz w:val="28"/>
                <w:szCs w:val="28"/>
              </w:rPr>
              <w:t>市地方金融监督管理局(王宏伟),13825235964,88127327,市民中心C4062,518036</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